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4.2.0.0 -->
  <w:body>
    <w:p w:rsidR="00A77B3E">
      <w:pPr>
        <w:keepLines w:val="0"/>
        <w:spacing w:after="400"/>
        <w:ind w:firstLine="160"/>
        <w:jc w:val="center"/>
      </w:pPr>
      <w:r>
        <w:rPr>
          <w:b/>
          <w:sz w:val="32"/>
        </w:rPr>
        <w:t>2022教招每日一练（1月18日）</w:t>
      </w:r>
    </w:p>
    <w:p w:rsidR="00A77B3E">
      <w:pPr>
        <w:rPr>
          <w:b/>
          <w:sz w:val="32"/>
        </w:rPr>
      </w:pPr>
      <w:r>
        <w:rPr>
          <w:b w:val="0"/>
          <w:color w:val="000000"/>
          <w:sz w:val="24"/>
        </w:rPr>
        <w:t>1.下列有关“乐”的古代名句，出自《论语》的是(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A.知之者不如好之者，好之者不如乐之者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51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height:9pt;width:81.76pt">
                  <v:imagedata r:id="rId4" o:title=""/>
                </v:shape>
              </w:pict>
            </w:r>
            <w:r>
              <w:pict>
                <v:shape id="_x0000_i1026" type="#_x0000_t75" style="height:9pt;width:24.75pt">
                  <v:imagedata r:id="rId5" o:title=""/>
                </v:shape>
              </w:pict>
            </w:r>
            <w:r>
              <w:t>77.27%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B.子非我，安知我不知鱼之乐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4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27" type="#_x0000_t75" style="height:9pt;width:6pt">
                  <v:imagedata r:id="rId6" o:title=""/>
                </v:shape>
              </w:pict>
            </w:r>
            <w:r>
              <w:pict>
                <v:shape id="_x0000_i1028" type="#_x0000_t75" style="height:9pt;width:100.51pt">
                  <v:imagedata r:id="rId7" o:title=""/>
                </v:shape>
              </w:pict>
            </w:r>
            <w:r>
              <w:t>6.06%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C.独乐乐，与人乐乐，孰乐?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3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29" type="#_x0000_t75" style="height:9pt;width:4.5pt">
                  <v:imagedata r:id="rId8" o:title=""/>
                </v:shape>
              </w:pict>
            </w:r>
            <w:r>
              <w:pict>
                <v:shape id="_x0000_i1030" type="#_x0000_t75" style="height:9pt;width:102.01pt">
                  <v:imagedata r:id="rId9" o:title=""/>
                </v:shape>
              </w:pict>
            </w:r>
            <w:r>
              <w:t>4.55%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D.先天下之忧而忧，后天下之乐而乐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8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31" type="#_x0000_t75" style="height:9pt;width:12.75pt">
                  <v:imagedata r:id="rId10" o:title=""/>
                </v:shape>
              </w:pict>
            </w:r>
            <w:r>
              <w:pict>
                <v:shape id="_x0000_i1032" type="#_x0000_t75" style="height:9pt;width:93.76pt">
                  <v:imagedata r:id="rId11" o:title=""/>
                </v:shape>
              </w:pict>
            </w:r>
            <w:r>
              <w:t>12.12%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77.27%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2.学校要求各班推选了各校级“三好”学生候选人，张老师又把班上考试成绩前三名的学生上报，张老师这种做法违背了教师职业道德规范中的(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A.教书育人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55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33" type="#_x0000_t75" style="height:9pt;width:88.51pt">
                  <v:imagedata r:id="rId12" o:title=""/>
                </v:shape>
              </w:pict>
            </w:r>
            <w:r>
              <w:pict>
                <v:shape id="_x0000_i1034" type="#_x0000_t75" style="height:9pt;width:18pt">
                  <v:imagedata r:id="rId13" o:title=""/>
                </v:shape>
              </w:pict>
            </w:r>
            <w:r>
              <w:t>83.33%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B.严于律己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8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35" type="#_x0000_t75" style="height:9pt;width:12.75pt">
                  <v:imagedata r:id="rId10" o:title=""/>
                </v:shape>
              </w:pict>
            </w:r>
            <w:r>
              <w:pict>
                <v:shape id="_x0000_i1036" type="#_x0000_t75" style="height:9pt;width:93.76pt">
                  <v:imagedata r:id="rId11" o:title=""/>
                </v:shape>
              </w:pict>
            </w:r>
            <w:r>
              <w:t>12.12%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C.终身学习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0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37" type="#_x0000_t75" style="height:9pt;width:106.51pt">
                  <v:imagedata r:id="rId14" o:title=""/>
                </v:shape>
              </w:pict>
            </w:r>
            <w:r>
              <w:t>0%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D.知荣明耻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3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38" type="#_x0000_t75" style="height:9pt;width:4.5pt">
                  <v:imagedata r:id="rId8" o:title=""/>
                </v:shape>
              </w:pict>
            </w:r>
            <w:r>
              <w:pict>
                <v:shape id="_x0000_i1039" type="#_x0000_t75" style="height:9pt;width:102.01pt">
                  <v:imagedata r:id="rId9" o:title=""/>
                </v:shape>
              </w:pict>
            </w:r>
            <w:r>
              <w:t>4.55%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83.33%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3.黄老师到上海参加了教学技能培训活动，回来后教研组的其他老师想分享他的培训资料，遭到黄老师的拒绝。这种做法表明黄老师(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A.不能严谨治学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1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0" type="#_x0000_t75" style="height:9pt;width:1.5pt">
                  <v:imagedata r:id="rId15" o:title=""/>
                </v:shape>
              </w:pict>
            </w:r>
            <w:r>
              <w:pict>
                <v:shape id="_x0000_i1041" type="#_x0000_t75" style="height:9pt;width:105.01pt">
                  <v:imagedata r:id="rId16" o:title=""/>
                </v:shape>
              </w:pict>
            </w:r>
            <w:r>
              <w:t>1.52%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B.不能以身作则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0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42" type="#_x0000_t75" style="height:9pt;width:106.51pt">
                  <v:imagedata r:id="rId14" o:title=""/>
                </v:shape>
              </w:pict>
            </w:r>
            <w:r>
              <w:t>0%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C.不能团结协作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64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3" type="#_x0000_t75" style="height:9pt;width:102.76pt">
                  <v:imagedata r:id="rId17" o:title=""/>
                </v:shape>
              </w:pict>
            </w:r>
            <w:r>
              <w:pict>
                <v:shape id="_x0000_i1044" type="#_x0000_t75" style="height:9pt;width:3.75pt">
                  <v:imagedata r:id="rId18" o:title=""/>
                </v:shape>
              </w:pict>
            </w:r>
            <w:r>
              <w:t>96.97%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D.不能爱岗敬业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1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45" type="#_x0000_t75" style="height:9pt;width:1.5pt">
                  <v:imagedata r:id="rId15" o:title=""/>
                </v:shape>
              </w:pict>
            </w:r>
            <w:r>
              <w:pict>
                <v:shape id="_x0000_i1046" type="#_x0000_t75" style="height:9pt;width:105.01pt">
                  <v:imagedata r:id="rId16" o:title=""/>
                </v:shape>
              </w:pict>
            </w:r>
            <w:r>
              <w:t>1.52%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96.97%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4.古代埃及、巴比伦、印度、中国被称为文明古国的最主要原因是( )。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A.人类最早居住的地区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2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47" type="#_x0000_t75" style="height:9pt;width:3pt">
                  <v:imagedata r:id="rId19" o:title=""/>
                </v:shape>
              </w:pict>
            </w:r>
            <w:r>
              <w:pict>
                <v:shape id="_x0000_i1048" type="#_x0000_t75" style="height:9pt;width:103.51pt">
                  <v:imagedata r:id="rId20" o:title=""/>
                </v:shape>
              </w:pict>
            </w:r>
            <w:r>
              <w:t>3.03%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B.创造了人类最早的文字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28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49" type="#_x0000_t75" style="height:9pt;width:45.01pt">
                  <v:imagedata r:id="rId21" o:title=""/>
                </v:shape>
              </w:pict>
            </w:r>
            <w:r>
              <w:pict>
                <v:shape id="_x0000_i1050" type="#_x0000_t75" style="height:9pt;width:61.51pt">
                  <v:imagedata r:id="rId22" o:title=""/>
                </v:shape>
              </w:pict>
            </w:r>
            <w:r>
              <w:t>42.42%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C.最先由原始社会进入奴隶社会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18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1" type="#_x0000_t75" style="height:9pt;width:28.5pt">
                  <v:imagedata r:id="rId23" o:title=""/>
                </v:shape>
              </w:pict>
            </w:r>
            <w:r>
              <w:pict>
                <v:shape id="_x0000_i1052" type="#_x0000_t75" style="height:9pt;width:78.01pt">
                  <v:imagedata r:id="rId24" o:title=""/>
                </v:shape>
              </w:pict>
            </w:r>
            <w:r>
              <w:t>27.27%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D.对世界文化贡献最大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18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53" type="#_x0000_t75" style="height:9pt;width:28.5pt">
                  <v:imagedata r:id="rId23" o:title=""/>
                </v:shape>
              </w:pict>
            </w:r>
            <w:r>
              <w:pict>
                <v:shape id="_x0000_i1054" type="#_x0000_t75" style="height:9pt;width:78.01pt">
                  <v:imagedata r:id="rId24" o:title=""/>
                </v:shape>
              </w:pict>
            </w:r>
            <w:r>
              <w:t>27.27%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27.27%</w:t>
      </w:r>
    </w:p>
    <w:p>
      <w:pPr>
        <w:bidi w:val="0"/>
      </w:pPr>
    </w:p>
    <w:p>
      <w:pPr>
        <w:bidi w:val="0"/>
      </w:pPr>
    </w:p>
    <w:p>
      <w:pPr>
        <w:bidi w:val="0"/>
      </w:pPr>
      <w:r>
        <w:rPr>
          <w:b w:val="0"/>
          <w:color w:val="000000"/>
          <w:sz w:val="24"/>
        </w:rPr>
        <w:t>5.《中小学教师职业道德》体现了教师职业的特点对教师的本质要求和时代特征，( )是贯穿其中的核心与灵魂。</w:t>
      </w:r>
      <w:r>
        <w:rPr>
          <w:b w:val="0"/>
          <w:color w:val="000000"/>
          <w:sz w:val="24"/>
        </w:rPr>
        <w:t xml:space="preserve">   </w:t>
      </w:r>
      <w:r>
        <w:rPr>
          <w:b w:val="0"/>
          <w:color w:val="0066FF"/>
          <w:sz w:val="24"/>
        </w:rPr>
        <w:t>[单选题]</w:t>
      </w:r>
    </w:p>
    <w:p>
      <w:pPr>
        <w:bidi w:val="0"/>
        <w:rPr>
          <w:b w:val="0"/>
          <w:color w:val="0066FF"/>
          <w:sz w:val="24"/>
        </w:rPr>
      </w:pPr>
    </w:p>
    <w:tbl>
      <w:tblPr>
        <w:tblW w:w="5000" w:type="pct"/>
        <w:jc w:val="left"/>
        <w:tblBorders>
          <w:top w:val="single" w:sz="4" w:space="0" w:color="E0E0E0"/>
          <w:left w:val="single" w:sz="4" w:space="0" w:color="E0E0E0"/>
          <w:bottom w:val="single" w:sz="4" w:space="0" w:color="E0E0E0"/>
          <w:right w:val="single" w:sz="4" w:space="0" w:color="E0E0E0"/>
          <w:insideH w:val="single" w:sz="4" w:space="0" w:color="E0E0E0"/>
          <w:insideV w:val="single" w:sz="4" w:space="0" w:color="E0E0E0"/>
        </w:tblBorders>
        <w:tblCellMar>
          <w:left w:w="108" w:type="dxa"/>
          <w:right w:w="108" w:type="dxa"/>
        </w:tblCellMar>
      </w:tblPr>
      <w:tblGrid>
        <w:gridCol w:w="4200"/>
        <w:gridCol w:w="1000"/>
        <w:gridCol w:w="8038"/>
      </w:tblGrid>
      <w:tr>
        <w:tblPrEx>
          <w:tblW w:w="5000" w:type="pct"/>
          <w:jc w:val="left"/>
          <w:tblBorders>
            <w:top w:val="single" w:sz="4" w:space="0" w:color="E0E0E0"/>
            <w:left w:val="single" w:sz="4" w:space="0" w:color="E0E0E0"/>
            <w:bottom w:val="single" w:sz="4" w:space="0" w:color="E0E0E0"/>
            <w:right w:val="single" w:sz="4" w:space="0" w:color="E0E0E0"/>
            <w:insideH w:val="single" w:sz="4" w:space="0" w:color="E0E0E0"/>
            <w:insideV w:val="single" w:sz="4" w:space="0" w:color="E0E0E0"/>
          </w:tblBorders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选项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center"/>
            </w:pPr>
            <w:r>
              <w:t>小计</w:t>
            </w:r>
          </w:p>
        </w:tc>
        <w:tc>
          <w:tcPr>
            <w:shd w:val="clear" w:color="auto" w:fill="F5F5F5"/>
            <w:vAlign w:val="center"/>
          </w:tcPr>
          <w:p>
            <w:pPr>
              <w:bidi w:val="0"/>
              <w:jc w:val="left"/>
            </w:pPr>
            <w:r>
              <w:t>比例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A.信任与关爱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10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5" type="#_x0000_t75" style="height:9pt;width:15.75pt">
                  <v:imagedata r:id="rId25" o:title=""/>
                </v:shape>
              </w:pict>
            </w:r>
            <w:r>
              <w:pict>
                <v:shape id="_x0000_i1056" type="#_x0000_t75" style="height:9pt;width:90.76pt">
                  <v:imagedata r:id="rId26" o:title=""/>
                </v:shape>
              </w:pict>
            </w:r>
            <w:r>
              <w:t>15.15%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B.奉献与责任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12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57" type="#_x0000_t75" style="height:9pt;width:18.75pt">
                  <v:imagedata r:id="rId27" o:title=""/>
                </v:shape>
              </w:pict>
            </w:r>
            <w:r>
              <w:pict>
                <v:shape id="_x0000_i1058" type="#_x0000_t75" style="height:9pt;width:87.76pt">
                  <v:imagedata r:id="rId28" o:title=""/>
                </v:shape>
              </w:pict>
            </w:r>
            <w:r>
              <w:t>18.18%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t>C.爱与责任</w:t>
            </w:r>
            <w:r>
              <w:rPr>
                <w:rStyle w:val="DefaultParagraphFont"/>
                <w:bdr w:val="nil"/>
                <w:rtl w:val="0"/>
              </w:rPr>
              <w:t> </w:t>
            </w:r>
            <w:r>
              <w:rPr>
                <w:rStyle w:val="DefaultParagraphFont"/>
                <w:color w:val="EFA030"/>
                <w:bdr w:val="nil"/>
                <w:rtl w:val="0"/>
              </w:rPr>
              <w:t>(答案)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center"/>
            </w:pPr>
            <w:r>
              <w:t>39</w:t>
            </w:r>
          </w:p>
        </w:tc>
        <w:tc>
          <w:tcPr>
            <w:shd w:val="clear" w:color="auto" w:fill="FFFFFF"/>
            <w:vAlign w:val="center"/>
          </w:tcPr>
          <w:p>
            <w:pPr>
              <w:bidi w:val="0"/>
              <w:jc w:val="left"/>
            </w:pPr>
            <w:r>
              <w:pict>
                <v:shape id="_x0000_i1059" type="#_x0000_t75" style="height:9pt;width:62.26pt">
                  <v:imagedata r:id="rId29" o:title=""/>
                </v:shape>
              </w:pict>
            </w:r>
            <w:r>
              <w:pict>
                <v:shape id="_x0000_i1060" type="#_x0000_t75" style="height:9pt;width:44.26pt">
                  <v:imagedata r:id="rId30" o:title=""/>
                </v:shape>
              </w:pict>
            </w:r>
            <w:r>
              <w:t>59.09%</w:t>
            </w:r>
          </w:p>
        </w:tc>
      </w:tr>
      <w:tr>
        <w:tblPrEx>
          <w:tblW w:w="5000" w:type="pct"/>
          <w:jc w:val="left"/>
          <w:tblCellMar>
            <w:left w:w="108" w:type="dxa"/>
            <w:right w:w="108" w:type="dxa"/>
          </w:tblCellMar>
        </w:tblPrEx>
        <w:trPr>
          <w:trHeight w:val="500"/>
          <w:jc w:val="left"/>
        </w:trPr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t>D.学习与奉献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center"/>
            </w:pPr>
            <w:r>
              <w:t>5</w:t>
            </w:r>
          </w:p>
        </w:tc>
        <w:tc>
          <w:tcPr>
            <w:shd w:val="clear" w:color="auto" w:fill="FAFAFA"/>
            <w:vAlign w:val="center"/>
          </w:tcPr>
          <w:p>
            <w:pPr>
              <w:bidi w:val="0"/>
              <w:jc w:val="left"/>
            </w:pPr>
            <w:r>
              <w:pict>
                <v:shape id="_x0000_i1061" type="#_x0000_t75" style="height:9pt;width:7.5pt">
                  <v:imagedata r:id="rId31" o:title=""/>
                </v:shape>
              </w:pict>
            </w:r>
            <w:r>
              <w:pict>
                <v:shape id="_x0000_i1062" type="#_x0000_t75" style="height:9pt;width:99.01pt">
                  <v:imagedata r:id="rId32" o:title=""/>
                </v:shape>
              </w:pict>
            </w:r>
            <w:r>
              <w:t>7.58%</w:t>
            </w:r>
          </w:p>
        </w:tc>
      </w:tr>
    </w:tbl>
    <w:p>
      <w:pPr>
        <w:bidi w:val="0"/>
      </w:pPr>
      <w:r>
        <w:rPr>
          <w:rStyle w:val="DefaultParagraphFont"/>
          <w:bdr w:val="nil"/>
          <w:rtl w:val="0"/>
        </w:rPr>
        <w:t>正确率：</w:t>
      </w:r>
      <w:r>
        <w:rPr>
          <w:rStyle w:val="DefaultParagraphFont"/>
          <w:color w:val="FF6600"/>
          <w:bdr w:val="nil"/>
          <w:rtl w:val="0"/>
        </w:rPr>
        <w:t>59.09%</w:t>
      </w:r>
    </w:p>
    <w:p>
      <w:pPr>
        <w:bidi w:val="0"/>
      </w:pPr>
    </w:p>
    <w:p>
      <w:pPr>
        <w:bidi w:val="0"/>
      </w:pPr>
    </w:p>
    <w:p>
      <w:pPr>
        <w:bidi w:val="0"/>
      </w:pPr>
    </w:p>
    <w:sectPr>
      <w:pgSz w:w="16838" w:h="23811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/>
    <w:rPr>
      <w:sz w:val="24"/>
      <w:szCs w:val="24"/>
      <w:bdr w:val="nil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Times New Roman" w:eastAsia="Times New Roman" w:hAnsi="Times New Roman" w:cs="Times New Roman"/>
      <w:b/>
      <w:bCs/>
      <w:i w:val="0"/>
      <w:kern w:val="32"/>
      <w:sz w:val="48"/>
      <w:szCs w:val="48"/>
      <w:bdr w:val="nil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Times New Roman" w:eastAsia="Times New Roman" w:hAnsi="Times New Roman" w:cs="Times New Roman"/>
      <w:b/>
      <w:bCs/>
      <w:i w:val="0"/>
      <w:iCs/>
      <w:sz w:val="36"/>
      <w:szCs w:val="36"/>
      <w:bdr w:val="nil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rFonts w:ascii="Times New Roman" w:eastAsia="Times New Roman" w:hAnsi="Times New Roman" w:cs="Times New Roman"/>
      <w:b/>
      <w:bCs/>
      <w:i w:val="0"/>
      <w:sz w:val="28"/>
      <w:szCs w:val="28"/>
      <w:bdr w:val="nil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i w:val="0"/>
      <w:sz w:val="24"/>
      <w:szCs w:val="24"/>
      <w:bdr w:val="nil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rFonts w:ascii="Times New Roman" w:eastAsia="Times New Roman" w:hAnsi="Times New Roman" w:cs="Times New Roman"/>
      <w:b/>
      <w:bCs/>
      <w:i w:val="0"/>
      <w:iCs/>
      <w:sz w:val="20"/>
      <w:szCs w:val="20"/>
      <w:bdr w:val="nil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rFonts w:ascii="Times New Roman" w:eastAsia="Times New Roman" w:hAnsi="Times New Roman" w:cs="Times New Roman"/>
      <w:b/>
      <w:bCs/>
      <w:i w:val="0"/>
      <w:sz w:val="16"/>
      <w:szCs w:val="16"/>
      <w:bdr w:val="nil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