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4.2.0.0 -->
  <w:body>
    <w:p w:rsidR="00A77B3E">
      <w:pPr>
        <w:keepLines w:val="0"/>
        <w:spacing w:after="400"/>
        <w:ind w:firstLine="160"/>
        <w:jc w:val="center"/>
      </w:pPr>
      <w:r>
        <w:rPr>
          <w:b/>
          <w:sz w:val="32"/>
        </w:rPr>
        <w:t>教师招聘每日一练（10月9日）</w:t>
      </w:r>
    </w:p>
    <w:p w:rsidR="00A77B3E">
      <w:pPr>
        <w:rPr>
          <w:b/>
          <w:sz w:val="32"/>
        </w:rPr>
      </w:pPr>
      <w:r>
        <w:rPr>
          <w:b w:val="0"/>
          <w:color w:val="000000"/>
          <w:sz w:val="24"/>
        </w:rPr>
        <w:t>1.校园文化是影响学生发展的因素之一，在课程表现上，它属于(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D7D7D7"/>
            <w:left w:val="single" w:sz="4" w:space="0" w:color="D7D7D7"/>
            <w:bottom w:val="single" w:sz="4" w:space="0" w:color="D7D7D7"/>
            <w:right w:val="single" w:sz="4" w:space="0" w:color="D7D7D7"/>
            <w:insideH w:val="single" w:sz="4" w:space="0" w:color="D7D7D7"/>
            <w:insideV w:val="single" w:sz="4" w:space="0" w:color="D7D7D7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jc w:val="left"/>
            </w:pPr>
            <w:r>
              <w:t>A.科学课程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height:9pt;width:4.5pt">
                  <v:imagedata r:id="rId4" o:title=""/>
                </v:shape>
              </w:pict>
            </w:r>
            <w:r>
              <w:pict>
                <v:shape id="_x0000_i1026" type="#_x0000_t75" style="height:9pt;width:102.01pt">
                  <v:imagedata r:id="rId5" o:title=""/>
                </v:shape>
              </w:pict>
            </w:r>
            <w:r>
              <w:t>4.44%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jc w:val="left"/>
            </w:pPr>
            <w:r>
              <w:t>B.活动课程</w:t>
            </w:r>
          </w:p>
        </w:tc>
        <w:tc>
          <w:tcPr>
            <w:shd w:val="clear" w:color="auto" w:fill="F9F9F9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27" type="#_x0000_t75" style="height:9pt;width:6.75pt">
                  <v:imagedata r:id="rId6" o:title=""/>
                </v:shape>
              </w:pict>
            </w:r>
            <w:r>
              <w:pict>
                <v:shape id="_x0000_i1028" type="#_x0000_t75" style="height:9pt;width:99.76pt">
                  <v:imagedata r:id="rId7" o:title=""/>
                </v:shape>
              </w:pict>
            </w:r>
            <w:r>
              <w:t>6.67%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C.隐性课程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38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29" type="#_x0000_t75" style="height:9pt;width:89.26pt">
                  <v:imagedata r:id="rId8" o:title=""/>
                </v:shape>
              </w:pict>
            </w:r>
            <w:r>
              <w:pict>
                <v:shape id="_x0000_i1030" type="#_x0000_t75" style="height:9pt;width:17.25pt">
                  <v:imagedata r:id="rId9" o:title=""/>
                </v:shape>
              </w:pict>
            </w:r>
            <w:r>
              <w:t>84.44%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D.核心课程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2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31" type="#_x0000_t75" style="height:9pt;width:4.5pt">
                  <v:imagedata r:id="rId4" o:title=""/>
                </v:shape>
              </w:pict>
            </w:r>
            <w:r>
              <w:pict>
                <v:shape id="_x0000_i1032" type="#_x0000_t75" style="height:9pt;width:102.01pt">
                  <v:imagedata r:id="rId5" o:title=""/>
                </v:shape>
              </w:pict>
            </w:r>
            <w:r>
              <w:t>4.44%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84.44%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2.奥苏伯尔将有意义学习由简到繁分为不同类型，知道“南京”表示一个城市，“车祸”表示一类事件，“小白兔”表示一类动物。属于(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D7D7D7"/>
            <w:left w:val="single" w:sz="4" w:space="0" w:color="D7D7D7"/>
            <w:bottom w:val="single" w:sz="4" w:space="0" w:color="D7D7D7"/>
            <w:right w:val="single" w:sz="4" w:space="0" w:color="D7D7D7"/>
            <w:insideH w:val="single" w:sz="4" w:space="0" w:color="D7D7D7"/>
            <w:insideV w:val="single" w:sz="4" w:space="0" w:color="D7D7D7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选项</w:t>
            </w:r>
          </w:p>
        </w:tc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A.概念学习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31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33" type="#_x0000_t75" style="height:9pt;width:72.76pt">
                  <v:imagedata r:id="rId10" o:title=""/>
                </v:shape>
              </w:pict>
            </w:r>
            <w:r>
              <w:pict>
                <v:shape id="_x0000_i1034" type="#_x0000_t75" style="height:9pt;width:33.75pt">
                  <v:imagedata r:id="rId11" o:title=""/>
                </v:shape>
              </w:pict>
            </w:r>
            <w:r>
              <w:t>68.89%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B.符号表征学习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11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35" type="#_x0000_t75" style="height:9pt;width:25.5pt">
                  <v:imagedata r:id="rId12" o:title=""/>
                </v:shape>
              </w:pict>
            </w:r>
            <w:r>
              <w:pict>
                <v:shape id="_x0000_i1036" type="#_x0000_t75" style="height:9pt;width:81.01pt">
                  <v:imagedata r:id="rId13" o:title=""/>
                </v:shape>
              </w:pict>
            </w:r>
            <w:r>
              <w:t>24.44%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C.命题学习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3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37" type="#_x0000_t75" style="height:9pt;width:6.75pt">
                  <v:imagedata r:id="rId6" o:title=""/>
                </v:shape>
              </w:pict>
            </w:r>
            <w:r>
              <w:pict>
                <v:shape id="_x0000_i1038" type="#_x0000_t75" style="height:9pt;width:99.76pt">
                  <v:imagedata r:id="rId7" o:title=""/>
                </v:shape>
              </w:pict>
            </w:r>
            <w:r>
              <w:t>6.67%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D.解决问题与创造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0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39" type="#_x0000_t75" style="height:9pt;width:106.51pt">
                  <v:imagedata r:id="rId14" o:title=""/>
                </v:shape>
              </w:pict>
            </w:r>
            <w:r>
              <w:t>0%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24.44%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3.看到“我们的邻居打开了门锁”这句话，虽然其中没有明确指出，但读者能推断出“开门的工具是钥匙”。这个过程是认知过程中的(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D7D7D7"/>
            <w:left w:val="single" w:sz="4" w:space="0" w:color="D7D7D7"/>
            <w:bottom w:val="single" w:sz="4" w:space="0" w:color="D7D7D7"/>
            <w:right w:val="single" w:sz="4" w:space="0" w:color="D7D7D7"/>
            <w:insideH w:val="single" w:sz="4" w:space="0" w:color="D7D7D7"/>
            <w:insideV w:val="single" w:sz="4" w:space="0" w:color="D7D7D7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选项</w:t>
            </w:r>
          </w:p>
        </w:tc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A.精加工过程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18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0" type="#_x0000_t75" style="height:9pt;width:42.01pt">
                  <v:imagedata r:id="rId15" o:title=""/>
                </v:shape>
              </w:pict>
            </w:r>
            <w:r>
              <w:pict>
                <v:shape id="_x0000_i1041" type="#_x0000_t75" style="height:9pt;width:64.51pt">
                  <v:imagedata r:id="rId16" o:title=""/>
                </v:shape>
              </w:pict>
            </w:r>
            <w:r>
              <w:t>40%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B.组织过程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4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42" type="#_x0000_t75" style="height:9pt;width:9pt">
                  <v:imagedata r:id="rId17" o:title=""/>
                </v:shape>
              </w:pict>
            </w:r>
            <w:r>
              <w:pict>
                <v:shape id="_x0000_i1043" type="#_x0000_t75" style="height:9pt;width:97.51pt">
                  <v:imagedata r:id="rId18" o:title=""/>
                </v:shape>
              </w:pict>
            </w:r>
            <w:r>
              <w:t>8.89%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C.整合过程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15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4" type="#_x0000_t75" style="height:9pt;width:35.25pt">
                  <v:imagedata r:id="rId19" o:title=""/>
                </v:shape>
              </w:pict>
            </w:r>
            <w:r>
              <w:pict>
                <v:shape id="_x0000_i1045" type="#_x0000_t75" style="height:9pt;width:71.26pt">
                  <v:imagedata r:id="rId20" o:title=""/>
                </v:shape>
              </w:pict>
            </w:r>
            <w:r>
              <w:t>33.33%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D.选择过程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8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46" type="#_x0000_t75" style="height:9pt;width:18.75pt">
                  <v:imagedata r:id="rId21" o:title=""/>
                </v:shape>
              </w:pict>
            </w:r>
            <w:r>
              <w:pict>
                <v:shape id="_x0000_i1047" type="#_x0000_t75" style="height:9pt;width:87.76pt">
                  <v:imagedata r:id="rId22" o:title=""/>
                </v:shape>
              </w:pict>
            </w:r>
            <w:r>
              <w:t>17.78%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40%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4.“关注个体差异”就是根据学生实际存在的兴趣爱好和能力差异(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D7D7D7"/>
            <w:left w:val="single" w:sz="4" w:space="0" w:color="D7D7D7"/>
            <w:bottom w:val="single" w:sz="4" w:space="0" w:color="D7D7D7"/>
            <w:right w:val="single" w:sz="4" w:space="0" w:color="D7D7D7"/>
            <w:insideH w:val="single" w:sz="4" w:space="0" w:color="D7D7D7"/>
            <w:insideV w:val="single" w:sz="4" w:space="0" w:color="D7D7D7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选项</w:t>
            </w:r>
          </w:p>
        </w:tc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A.由学生自己决定如何学习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8" type="#_x0000_t75" style="height:9pt;width:4.5pt">
                  <v:imagedata r:id="rId4" o:title=""/>
                </v:shape>
              </w:pict>
            </w:r>
            <w:r>
              <w:pict>
                <v:shape id="_x0000_i1049" type="#_x0000_t75" style="height:9pt;width:102.01pt">
                  <v:imagedata r:id="rId5" o:title=""/>
                </v:shape>
              </w:pict>
            </w:r>
            <w:r>
              <w:t>4.44%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B.将学生按优中差分班教学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0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50" type="#_x0000_t75" style="height:9pt;width:106.51pt">
                  <v:imagedata r:id="rId14" o:title=""/>
                </v:shape>
              </w:pict>
            </w:r>
            <w:r>
              <w:t>0%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C.满足不同学生的需要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43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51" type="#_x0000_t75" style="height:9pt;width:101.26pt">
                  <v:imagedata r:id="rId23" o:title=""/>
                </v:shape>
              </w:pict>
            </w:r>
            <w:r>
              <w:pict>
                <v:shape id="_x0000_i1052" type="#_x0000_t75" style="height:9pt;width:5.25pt">
                  <v:imagedata r:id="rId24" o:title=""/>
                </v:shape>
              </w:pict>
            </w:r>
            <w:r>
              <w:t>95.56%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D.培养单科独进的尖子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0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53" type="#_x0000_t75" style="height:9pt;width:106.51pt">
                  <v:imagedata r:id="rId14" o:title=""/>
                </v:shape>
              </w:pict>
            </w:r>
            <w:r>
              <w:t>0%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95.56%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5.“智如泉源，行可以为仪表者，人之师也。”(《韩诗外传》)这句话告诉我们，教师(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D7D7D7"/>
            <w:left w:val="single" w:sz="4" w:space="0" w:color="D7D7D7"/>
            <w:bottom w:val="single" w:sz="4" w:space="0" w:color="D7D7D7"/>
            <w:right w:val="single" w:sz="4" w:space="0" w:color="D7D7D7"/>
            <w:insideH w:val="single" w:sz="4" w:space="0" w:color="D7D7D7"/>
            <w:insideV w:val="single" w:sz="4" w:space="0" w:color="D7D7D7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选项</w:t>
            </w:r>
          </w:p>
        </w:tc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E0E0E0"/>
            <w:vAlign w:val="center"/>
          </w:tcPr>
          <w:p>
            <w:pPr>
              <w:bidi w:val="0"/>
              <w:jc w:val="center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A.不仅要提高道德认识，还要加强道德实践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3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54" type="#_x0000_t75" style="height:9pt;width:6.75pt">
                  <v:imagedata r:id="rId6" o:title=""/>
                </v:shape>
              </w:pict>
            </w:r>
            <w:r>
              <w:pict>
                <v:shape id="_x0000_i1055" type="#_x0000_t75" style="height:9pt;width:99.76pt">
                  <v:imagedata r:id="rId7" o:title=""/>
                </v:shape>
              </w:pict>
            </w:r>
            <w:r>
              <w:t>6.67%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B.不仅要有从教的学识能力，还要做到以身作则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41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56" type="#_x0000_t75" style="height:9pt;width:96.76pt">
                  <v:imagedata r:id="rId25" o:title=""/>
                </v:shape>
              </w:pict>
            </w:r>
            <w:r>
              <w:pict>
                <v:shape id="_x0000_i1057" type="#_x0000_t75" style="height:9pt;width:9.75pt">
                  <v:imagedata r:id="rId26" o:title=""/>
                </v:shape>
              </w:pict>
            </w:r>
            <w:r>
              <w:t>91.11%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C.不仅要有丰富的学识，还要注重能力的提升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1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58" type="#_x0000_t75" style="height:9pt;width:2.25pt">
                  <v:imagedata r:id="rId27" o:title=""/>
                </v:shape>
              </w:pict>
            </w:r>
            <w:r>
              <w:pict>
                <v:shape id="_x0000_i1059" type="#_x0000_t75" style="height:9pt;width:104.26pt">
                  <v:imagedata r:id="rId28" o:title=""/>
                </v:shape>
              </w:pict>
            </w:r>
            <w:r>
              <w:t>2.22%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t>D.不仅要有专业知识，还要有人文情怀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center"/>
            </w:pPr>
            <w:r>
              <w:t>0</w:t>
            </w:r>
          </w:p>
        </w:tc>
        <w:tc>
          <w:tcPr>
            <w:shd w:val="clear" w:color="auto" w:fill="F9F9F9"/>
            <w:vAlign w:val="center"/>
          </w:tcPr>
          <w:p>
            <w:pPr>
              <w:bidi w:val="0"/>
              <w:jc w:val="left"/>
            </w:pPr>
            <w:r>
              <w:pict>
                <v:shape id="_x0000_i1060" type="#_x0000_t75" style="height:9pt;width:106.51pt">
                  <v:imagedata r:id="rId14" o:title=""/>
                </v:shape>
              </w:pict>
            </w:r>
            <w:r>
              <w:t>0%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91.11%</w:t>
      </w:r>
    </w:p>
    <w:p>
      <w:pPr>
        <w:bidi w:val="0"/>
      </w:pPr>
    </w:p>
    <w:p>
      <w:pPr>
        <w:bidi w:val="0"/>
      </w:pPr>
    </w:p>
    <w:p>
      <w:pPr>
        <w:bidi w:val="0"/>
      </w:pPr>
    </w:p>
    <w:sectPr>
      <w:pgSz w:w="16838" w:h="23811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/>
    <w:rPr>
      <w:sz w:val="24"/>
      <w:szCs w:val="24"/>
      <w:bdr w:val="nil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Times New Roman" w:eastAsia="Times New Roman" w:hAnsi="Times New Roman" w:cs="Times New Roman"/>
      <w:b/>
      <w:bCs/>
      <w:i w:val="0"/>
      <w:kern w:val="32"/>
      <w:sz w:val="48"/>
      <w:szCs w:val="48"/>
      <w:bdr w:val="nil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rFonts w:ascii="Times New Roman" w:eastAsia="Times New Roman" w:hAnsi="Times New Roman" w:cs="Times New Roman"/>
      <w:b/>
      <w:bCs/>
      <w:i w:val="0"/>
      <w:iCs/>
      <w:sz w:val="36"/>
      <w:szCs w:val="36"/>
      <w:bdr w:val="nil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rFonts w:ascii="Times New Roman" w:eastAsia="Times New Roman" w:hAnsi="Times New Roman" w:cs="Times New Roman"/>
      <w:b/>
      <w:bCs/>
      <w:i w:val="0"/>
      <w:sz w:val="28"/>
      <w:szCs w:val="28"/>
      <w:bdr w:val="nil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i w:val="0"/>
      <w:sz w:val="24"/>
      <w:szCs w:val="24"/>
      <w:bdr w:val="nil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rFonts w:ascii="Times New Roman" w:eastAsia="Times New Roman" w:hAnsi="Times New Roman" w:cs="Times New Roman"/>
      <w:b/>
      <w:bCs/>
      <w:i w:val="0"/>
      <w:iCs/>
      <w:sz w:val="20"/>
      <w:szCs w:val="20"/>
      <w:bdr w:val="nil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rFonts w:ascii="Times New Roman" w:eastAsia="Times New Roman" w:hAnsi="Times New Roman" w:cs="Times New Roman"/>
      <w:b/>
      <w:bCs/>
      <w:i w:val="0"/>
      <w:sz w:val="16"/>
      <w:szCs w:val="16"/>
      <w:bdr w:val="nil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