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25" w:type="dxa"/>
        <w:tblInd w:w="45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1230"/>
        <w:gridCol w:w="1260"/>
        <w:gridCol w:w="5730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岗位名称</w:t>
            </w:r>
          </w:p>
        </w:tc>
        <w:tc>
          <w:tcPr>
            <w:tcW w:w="1230" w:type="dxa"/>
            <w:tcBorders>
              <w:top w:val="single" w:color="CCCCCC" w:sz="6" w:space="0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岗位类别</w:t>
            </w:r>
          </w:p>
        </w:tc>
        <w:tc>
          <w:tcPr>
            <w:tcW w:w="1260" w:type="dxa"/>
            <w:tcBorders>
              <w:top w:val="single" w:color="CCCCCC" w:sz="6" w:space="0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招聘人数</w:t>
            </w:r>
          </w:p>
        </w:tc>
        <w:tc>
          <w:tcPr>
            <w:tcW w:w="5730" w:type="dxa"/>
            <w:tcBorders>
              <w:top w:val="single" w:color="CCCCCC" w:sz="6" w:space="0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5" w:hRule="atLeast"/>
        </w:trPr>
        <w:tc>
          <w:tcPr>
            <w:tcW w:w="1305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语文教师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1</w:t>
            </w:r>
          </w:p>
        </w:tc>
        <w:tc>
          <w:tcPr>
            <w:tcW w:w="57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语言学及应用语言学（050102）、汉语言文字学（050103）、中国现当代文学（050106）、新闻学（050301）、新闻与传播（0552）;研究生学历、硕士及以上学位;第一学历为大学本科学历、学士学位;年龄30周岁以下（1989年9月1日后出生），限应届毕业生报考。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05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数学教师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1</w:t>
            </w:r>
          </w:p>
        </w:tc>
        <w:tc>
          <w:tcPr>
            <w:tcW w:w="57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数学（0701）、学科教学（数学）（045104）;研究生学历、硕士及以上学位;第一学历为大学本科学历、学士学位;年龄30周岁以下（1989年9月1日后出生），限应届毕业生报考。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工程测量教师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1</w:t>
            </w:r>
          </w:p>
        </w:tc>
        <w:tc>
          <w:tcPr>
            <w:tcW w:w="57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测绘科学与技术（0816）、测绘工程（085215）；研究生学历、硕士及以上学位;第一学历为大学本科学历、学士学位;年龄35周岁以下（1984年9月1日后出生）。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工程造价教师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2</w:t>
            </w:r>
          </w:p>
        </w:tc>
        <w:tc>
          <w:tcPr>
            <w:tcW w:w="57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土木工程（0814）、道路与铁道工程（082301）、建筑与土木工程（085213）；研究生学历、硕士及以上学位;第一学历为大学本科学历、学士学位;年龄35周岁以下（1984年9月1日后出生）。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机电一体化教师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2</w:t>
            </w:r>
          </w:p>
        </w:tc>
        <w:tc>
          <w:tcPr>
            <w:tcW w:w="57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机械电子工程（080202）、车辆工程（080204）、电机与电器（080801）、电力电子与电力传动（080804）、电气工程（085207）；研究生学历、硕士及以上学位;第一学历为大学本科学历、学士学位；具有3年及以上企业工作经历；年龄35周岁以下（1984年9月1日后出生）。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电子商务教师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1</w:t>
            </w:r>
          </w:p>
        </w:tc>
        <w:tc>
          <w:tcPr>
            <w:tcW w:w="57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管理科学与工程（1201）、软件工程（0835）、设计学（1305）、艺术设计（135108）；硕士及以上学位，第一学历为大学本科学历、学士学位；年龄35周岁以下（1984年9月1日以后出生）。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农业工程教师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1</w:t>
            </w:r>
          </w:p>
        </w:tc>
        <w:tc>
          <w:tcPr>
            <w:tcW w:w="57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农业工程（085227）；硕士及以上学位，第一学历为大学本科学历、学士学位；年龄35周岁以下（1984年9月1日以后出生）。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教师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2</w:t>
            </w:r>
          </w:p>
        </w:tc>
        <w:tc>
          <w:tcPr>
            <w:tcW w:w="5730" w:type="dxa"/>
            <w:tcBorders>
              <w:top w:val="nil"/>
              <w:left w:val="nil"/>
              <w:bottom w:val="single" w:color="CCCCCC" w:sz="6" w:space="0"/>
              <w:right w:val="single" w:color="CCCCCC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计算机科学与技术（0812）、计算机技术（085211）;硕士及以上学位，第一学历为大学本科学历、学士学位；年龄35周岁以下（1984年9月1日以后出生）。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62" w:beforeAutospacing="0" w:after="572" w:afterAutospacing="0" w:line="33" w:lineRule="atLeast"/>
        <w:ind w:left="450" w:right="450" w:firstLine="420"/>
        <w:jc w:val="both"/>
      </w:pPr>
      <w:r>
        <w:rPr>
          <w:rStyle w:val="6"/>
          <w:rFonts w:hint="eastAsia" w:ascii="微软雅黑" w:hAnsi="微软雅黑" w:eastAsia="微软雅黑" w:cs="微软雅黑"/>
          <w:b w:val="0"/>
          <w:caps w:val="0"/>
          <w:color w:val="333333"/>
          <w:spacing w:val="0"/>
          <w:sz w:val="27"/>
          <w:szCs w:val="27"/>
          <w:u w:val="none"/>
          <w:bdr w:val="none" w:color="auto" w:sz="0" w:space="0"/>
        </w:rPr>
        <w:t>备注：1.以上岗位条件中专业名称后括号中的数字为学科专业代码。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F1008"/>
    <w:rsid w:val="298F1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  <w:rPr>
      <w:color w:val="CC0000"/>
    </w:rPr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8">
    <w:name w:val="slidedonw"/>
    <w:basedOn w:val="4"/>
    <w:uiPriority w:val="0"/>
    <w:rPr>
      <w:vanish/>
    </w:rPr>
  </w:style>
  <w:style w:type="character" w:customStyle="1" w:styleId="9">
    <w:name w:val="nav_news_zwgk_zzjgicon"/>
    <w:basedOn w:val="4"/>
    <w:uiPriority w:val="0"/>
    <w:rPr>
      <w:color w:val="0D64B4"/>
      <w:sz w:val="42"/>
      <w:szCs w:val="42"/>
      <w:bdr w:val="single" w:color="C1E1FF" w:sz="6" w:space="0"/>
      <w:shd w:val="clear" w:fill="E8F7FF"/>
    </w:rPr>
  </w:style>
  <w:style w:type="character" w:customStyle="1" w:styleId="10">
    <w:name w:val="after"/>
    <w:basedOn w:val="4"/>
    <w:uiPriority w:val="0"/>
  </w:style>
  <w:style w:type="character" w:customStyle="1" w:styleId="11">
    <w:name w:val="after1"/>
    <w:basedOn w:val="4"/>
    <w:uiPriority w:val="0"/>
  </w:style>
  <w:style w:type="character" w:customStyle="1" w:styleId="12">
    <w:name w:val="hover29"/>
    <w:basedOn w:val="4"/>
    <w:uiPriority w:val="0"/>
    <w:rPr>
      <w:color w:val="66B1FF"/>
    </w:rPr>
  </w:style>
  <w:style w:type="character" w:customStyle="1" w:styleId="13">
    <w:name w:val="current"/>
    <w:basedOn w:val="4"/>
    <w:uiPriority w:val="0"/>
    <w:rPr>
      <w:color w:val="FFFFFF"/>
      <w:shd w:val="clear" w:fill="409EFF"/>
    </w:rPr>
  </w:style>
  <w:style w:type="character" w:customStyle="1" w:styleId="14">
    <w:name w:val="before"/>
    <w:basedOn w:val="4"/>
    <w:uiPriority w:val="0"/>
    <w:rPr>
      <w:rFonts w:hint="default" w:ascii="iconfont" w:hAnsi="iconfont" w:eastAsia="iconfont" w:cs="iconfont"/>
      <w:color w:val="292929"/>
      <w:sz w:val="30"/>
      <w:szCs w:val="30"/>
    </w:rPr>
  </w:style>
  <w:style w:type="character" w:customStyle="1" w:styleId="15">
    <w:name w:val="on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2020-09-17T02:23:00Z</dcterms:created>
  <dc:creator>那时花开咖啡馆。</dc:creator>
  <cp:lastModifiedBy>那时花开咖啡馆。</cp:lastModifiedBy>
  <dcterms:modified xsi:type="dcterms:W3CDTF">2020-09-17T03:00:34Z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